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2018年度新疆喀什地区英吉沙县龙甫乡卫生院部门决算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1、根据国家和本县规定收集、报送辖区内卫生健康信息，建立和管理居民健康档案，提出改进辖区公共卫生状况的建议。</w:t>
      </w:r>
      <w:r>
        <w:rPr>
          <w:rFonts w:hint="eastAsia" w:ascii="仿宋_GB2312" w:eastAsia="仿宋_GB2312"/>
          <w:sz w:val="32"/>
          <w:szCs w:val="32"/>
        </w:rPr>
        <w:br w:type="textWrapping"/>
      </w:r>
      <w:r>
        <w:rPr>
          <w:rFonts w:hint="eastAsia" w:ascii="仿宋_GB2312" w:eastAsia="仿宋_GB2312"/>
          <w:sz w:val="32"/>
          <w:szCs w:val="32"/>
        </w:rPr>
        <w:t xml:space="preserve">    2、开展健康教育，普及健康知识。</w:t>
      </w:r>
      <w:r>
        <w:rPr>
          <w:rFonts w:hint="eastAsia" w:ascii="仿宋_GB2312" w:eastAsia="仿宋_GB2312"/>
          <w:sz w:val="32"/>
          <w:szCs w:val="32"/>
        </w:rPr>
        <w:br w:type="textWrapping"/>
      </w:r>
      <w:r>
        <w:rPr>
          <w:rFonts w:hint="eastAsia" w:ascii="仿宋_GB2312" w:eastAsia="仿宋_GB2312"/>
          <w:sz w:val="32"/>
          <w:szCs w:val="32"/>
        </w:rPr>
        <w:t xml:space="preserve">    3、协助开展传染病以及地方病、寄生虫病的预防控制，配合开展爱国卫生工作。</w:t>
      </w:r>
      <w:r>
        <w:rPr>
          <w:rFonts w:hint="eastAsia" w:ascii="仿宋_GB2312" w:eastAsia="仿宋_GB2312"/>
          <w:sz w:val="32"/>
          <w:szCs w:val="32"/>
        </w:rPr>
        <w:br w:type="textWrapping"/>
      </w:r>
      <w:r>
        <w:rPr>
          <w:rFonts w:hint="eastAsia" w:ascii="仿宋_GB2312" w:eastAsia="仿宋_GB2312"/>
          <w:sz w:val="32"/>
          <w:szCs w:val="32"/>
        </w:rPr>
        <w:t xml:space="preserve">    4、做好高危人群、重点慢性病患者的筛查和病例管理。</w:t>
      </w:r>
      <w:r>
        <w:rPr>
          <w:rFonts w:hint="eastAsia" w:ascii="仿宋_GB2312" w:eastAsia="仿宋_GB2312"/>
          <w:sz w:val="32"/>
          <w:szCs w:val="32"/>
        </w:rPr>
        <w:br w:type="textWrapping"/>
      </w:r>
      <w:r>
        <w:rPr>
          <w:rFonts w:hint="eastAsia" w:ascii="仿宋_GB2312" w:eastAsia="仿宋_GB2312"/>
          <w:sz w:val="32"/>
          <w:szCs w:val="32"/>
        </w:rPr>
        <w:t xml:space="preserve">    5、提供心理健康指导服务，实施精神病社区管理。</w:t>
      </w:r>
      <w:r>
        <w:rPr>
          <w:rFonts w:hint="eastAsia" w:ascii="仿宋_GB2312" w:eastAsia="仿宋_GB2312"/>
          <w:sz w:val="32"/>
          <w:szCs w:val="32"/>
        </w:rPr>
        <w:br w:type="textWrapping"/>
      </w:r>
      <w:r>
        <w:rPr>
          <w:rFonts w:hint="eastAsia" w:ascii="仿宋_GB2312" w:eastAsia="仿宋_GB2312"/>
          <w:sz w:val="32"/>
          <w:szCs w:val="32"/>
        </w:rPr>
        <w:t xml:space="preserve">    6、为妇女、儿童、老年人、残疾人等重点人群提供保健和康复服务。</w:t>
      </w:r>
      <w:r>
        <w:rPr>
          <w:rFonts w:hint="eastAsia" w:ascii="仿宋_GB2312" w:eastAsia="仿宋_GB2312"/>
          <w:sz w:val="32"/>
          <w:szCs w:val="32"/>
        </w:rPr>
        <w:br w:type="textWrapping"/>
      </w:r>
      <w:r>
        <w:rPr>
          <w:rFonts w:hint="eastAsia" w:ascii="仿宋_GB2312" w:eastAsia="仿宋_GB2312"/>
          <w:sz w:val="32"/>
          <w:szCs w:val="32"/>
        </w:rPr>
        <w:t xml:space="preserve">    7、提供优生优育技术服务，协助处置辖区内突发公共卫生事件等。</w:t>
      </w:r>
      <w:r>
        <w:rPr>
          <w:rFonts w:hint="eastAsia" w:ascii="仿宋_GB2312" w:eastAsia="仿宋_GB2312"/>
          <w:sz w:val="32"/>
          <w:szCs w:val="32"/>
        </w:rPr>
        <w:br w:type="textWrapping"/>
      </w:r>
      <w:r>
        <w:rPr>
          <w:rFonts w:hint="eastAsia" w:ascii="仿宋_GB2312" w:eastAsia="仿宋_GB2312"/>
          <w:sz w:val="32"/>
          <w:szCs w:val="32"/>
        </w:rPr>
        <w:t xml:space="preserve">    8、按要求提供其他公共卫生服务。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新疆喀什地区英吉沙县龙甫乡卫生院</w:t>
      </w:r>
      <w:r>
        <w:rPr>
          <w:rFonts w:hint="eastAsia" w:ascii="仿宋_GB2312" w:eastAsia="仿宋_GB2312"/>
          <w:sz w:val="32"/>
          <w:szCs w:val="32"/>
        </w:rPr>
        <w:t>部门决算包括：</w:t>
      </w:r>
      <w:r>
        <w:rPr>
          <w:rFonts w:ascii="仿宋_GB2312" w:eastAsia="仿宋_GB2312"/>
          <w:sz w:val="32"/>
          <w:szCs w:val="32"/>
        </w:rPr>
        <w:t>新疆喀什地区英吉沙县龙甫乡卫生院</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新疆喀什地区英吉沙县龙甫乡卫生院</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序号</w:t>
            </w:r>
          </w:p>
        </w:tc>
        <w:tc>
          <w:tcPr>
            <w:tcW w:w="3870" w:type="dxa"/>
            <w:vAlign w:val="center"/>
          </w:tcPr>
          <w:p>
            <w:pPr>
              <w:spacing w:line="5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spacing w:line="500" w:lineRule="exact"/>
              <w:ind w:firstLine="640" w:firstLineChars="200"/>
              <w:jc w:val="left"/>
            </w:pPr>
            <w:r>
              <w:rPr>
                <w:rFonts w:eastAsia="Times New Roman"/>
                <w:color w:val="000000"/>
                <w:position w:val="-1"/>
                <w:sz w:val="32"/>
              </w:rPr>
              <w:t>1</w:t>
            </w:r>
          </w:p>
        </w:tc>
        <w:tc>
          <w:tcPr>
            <w:tcW w:w="3870" w:type="dxa"/>
          </w:tcPr>
          <w:p>
            <w:pPr>
              <w:spacing w:line="500" w:lineRule="exact"/>
              <w:ind w:firstLine="640" w:firstLineChars="200"/>
              <w:jc w:val="left"/>
            </w:pPr>
            <w:r>
              <w:rPr>
                <w:rFonts w:eastAsia="Times New Roman"/>
                <w:color w:val="000000"/>
                <w:position w:val="-1"/>
                <w:sz w:val="32"/>
              </w:rPr>
              <w:t>新疆喀什地区英吉沙县龙甫乡卫生院</w:t>
            </w:r>
          </w:p>
        </w:tc>
        <w:tc>
          <w:tcPr>
            <w:tcW w:w="2538" w:type="dxa"/>
            <w:vAlign w:val="center"/>
          </w:tcPr>
          <w:p>
            <w:pPr>
              <w:spacing w:line="500" w:lineRule="exact"/>
              <w:ind w:firstLine="420" w:firstLineChars="200"/>
              <w:jc w:val="left"/>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14:textFill>
            <w14:solidFill>
              <w14:schemeClr w14:val="tx1"/>
            </w14:solidFill>
          </w14:textFill>
        </w:rPr>
      </w:pPr>
      <w:bookmarkStart w:id="4" w:name="OLE_LINK99"/>
      <w:bookmarkStart w:id="5" w:name="OLE_LINK100"/>
      <w:bookmarkStart w:id="6" w:name="OLE_LINK52"/>
      <w:r>
        <w:rPr>
          <w:rFonts w:hint="eastAsia" w:ascii="仿宋_GB2312" w:eastAsia="仿宋_GB2312"/>
          <w:color w:val="000000" w:themeColor="text1"/>
          <w:sz w:val="32"/>
          <w:szCs w:val="32"/>
          <w14:textFill>
            <w14:solidFill>
              <w14:schemeClr w14:val="tx1"/>
            </w14:solidFill>
          </w14:textFill>
        </w:rPr>
        <w:t>2018年度收入</w:t>
      </w:r>
      <w:r>
        <w:rPr>
          <w:rFonts w:hint="eastAsia" w:ascii="仿宋_GB2312" w:eastAsia="仿宋_GB2312"/>
          <w:sz w:val="32"/>
          <w:szCs w:val="32"/>
        </w:rPr>
        <w:t>335.19</w:t>
      </w:r>
      <w:r>
        <w:rPr>
          <w:rFonts w:hint="eastAsia" w:ascii="仿宋_GB2312" w:eastAsia="仿宋_GB2312"/>
          <w:color w:val="000000" w:themeColor="text1"/>
          <w:sz w:val="32"/>
          <w:szCs w:val="32"/>
          <w14:textFill>
            <w14:solidFill>
              <w14:schemeClr w14:val="tx1"/>
            </w14:solidFill>
          </w14:textFill>
        </w:rPr>
        <w:t>万元</w:t>
      </w:r>
      <w:bookmarkEnd w:id="4"/>
      <w:bookmarkEnd w:id="5"/>
      <w:r>
        <w:rPr>
          <w:rFonts w:hint="eastAsia" w:ascii="仿宋_GB2312" w:eastAsia="仿宋_GB2312"/>
          <w:sz w:val="32"/>
          <w:szCs w:val="32"/>
        </w:rPr>
        <w:t>，与上年相比，减少39.06万元，下降10.44%，减少的主要原因是：</w:t>
      </w:r>
      <w:r>
        <w:rPr>
          <w:rFonts w:hint="eastAsia" w:ascii="仿宋_GB2312" w:eastAsia="仿宋_GB2312"/>
          <w:color w:val="000000" w:themeColor="text1"/>
          <w:sz w:val="32"/>
          <w:szCs w:val="32"/>
          <w14:textFill>
            <w14:solidFill>
              <w14:schemeClr w14:val="tx1"/>
            </w14:solidFill>
          </w14:textFill>
        </w:rPr>
        <w:t>我院2018年接诊人数和体检人数均有所下降，且根据上级为基层卫生院减负的要求我院负担的公共卫生工作进一步精化。因此使得我院收入同比上年有所下降；</w:t>
      </w:r>
      <w:bookmarkEnd w:id="6"/>
      <w:bookmarkStart w:id="7" w:name="OLE_LINK53"/>
      <w:r>
        <w:rPr>
          <w:rFonts w:hint="eastAsia" w:ascii="仿宋_GB2312" w:eastAsia="仿宋_GB2312"/>
          <w:color w:val="000000" w:themeColor="text1"/>
          <w:sz w:val="32"/>
          <w:szCs w:val="32"/>
          <w14:textFill>
            <w14:solidFill>
              <w14:schemeClr w14:val="tx1"/>
            </w14:solidFill>
          </w14:textFill>
        </w:rPr>
        <w:t>支出</w:t>
      </w:r>
      <w:r>
        <w:rPr>
          <w:rFonts w:hint="eastAsia" w:ascii="仿宋_GB2312" w:eastAsia="仿宋_GB2312"/>
          <w:sz w:val="32"/>
          <w:szCs w:val="32"/>
        </w:rPr>
        <w:t>317.77</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，与上年相比，减少54.14万元，下降14.56%，减少的主要原因是：</w:t>
      </w:r>
      <w:r>
        <w:rPr>
          <w:rFonts w:hint="eastAsia" w:ascii="仿宋_GB2312" w:eastAsia="仿宋_GB2312"/>
          <w:color w:val="000000" w:themeColor="text1"/>
          <w:sz w:val="32"/>
          <w:szCs w:val="32"/>
          <w14:textFill>
            <w14:solidFill>
              <w14:schemeClr w14:val="tx1"/>
            </w14:solidFill>
          </w14:textFill>
        </w:rPr>
        <w:t>我院2018年接诊人数和体检人数均有所下降，且根据上级为基层卫生院减负的要求我院负担的公共卫生工作进一步精化，减少了一些不必要的支出。因此使得我院支出同比上年有所下降；</w:t>
      </w:r>
      <w:bookmarkEnd w:id="7"/>
      <w:bookmarkStart w:id="8" w:name="OLE_LINK54"/>
      <w:r>
        <w:rPr>
          <w:rFonts w:hint="eastAsia" w:ascii="仿宋_GB2312" w:eastAsia="仿宋_GB2312"/>
          <w:color w:val="000000" w:themeColor="text1"/>
          <w:sz w:val="32"/>
          <w:szCs w:val="32"/>
          <w14:textFill>
            <w14:solidFill>
              <w14:schemeClr w14:val="tx1"/>
            </w14:solidFill>
          </w14:textFill>
        </w:rPr>
        <w:t>结余</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，与上年相比增加0万元，增长0%，主要原因是：</w:t>
      </w:r>
      <w:r>
        <w:rPr>
          <w:rFonts w:ascii="仿宋_GB2312" w:eastAsia="仿宋_GB2312"/>
          <w:color w:val="000000" w:themeColor="text1"/>
          <w:sz w:val="32"/>
          <w:szCs w:val="32"/>
          <w14:textFill>
            <w14:solidFill>
              <w14:schemeClr w14:val="tx1"/>
            </w14:solidFill>
          </w14:textFill>
        </w:rPr>
        <w:t>资金执行到位，年末无结余。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本年收入合计</w:t>
      </w:r>
      <w:r>
        <w:rPr>
          <w:rFonts w:hint="eastAsia" w:ascii="仿宋_GB2312" w:eastAsia="仿宋_GB2312"/>
          <w:sz w:val="32"/>
          <w:szCs w:val="32"/>
        </w:rPr>
        <w:t>335.19</w:t>
      </w:r>
      <w:r>
        <w:rPr>
          <w:rFonts w:hint="eastAsia" w:ascii="仿宋_GB2312" w:eastAsia="仿宋_GB2312"/>
          <w:color w:val="000000" w:themeColor="text1"/>
          <w:sz w:val="32"/>
          <w:szCs w:val="32"/>
          <w14:textFill>
            <w14:solidFill>
              <w14:schemeClr w14:val="tx1"/>
            </w14:solidFill>
          </w14:textFill>
        </w:rPr>
        <w:t>万元，其中：</w:t>
      </w:r>
      <w:bookmarkStart w:id="9" w:name="OLE_LINK1"/>
      <w:r>
        <w:rPr>
          <w:rFonts w:hint="eastAsia" w:ascii="仿宋_GB2312" w:eastAsia="仿宋_GB2312"/>
          <w:color w:val="000000" w:themeColor="text1"/>
          <w:sz w:val="32"/>
          <w:szCs w:val="32"/>
          <w14:textFill>
            <w14:solidFill>
              <w14:schemeClr w14:val="tx1"/>
            </w14:solidFill>
          </w14:textFill>
        </w:rPr>
        <w:t>财政拨款收入</w:t>
      </w:r>
      <w:bookmarkEnd w:id="9"/>
      <w:r>
        <w:rPr>
          <w:rFonts w:hint="eastAsia" w:ascii="仿宋_GB2312" w:eastAsia="仿宋_GB2312"/>
          <w:sz w:val="32"/>
          <w:szCs w:val="32"/>
        </w:rPr>
        <w:t>254.83</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76.03%</w:t>
      </w:r>
      <w:r>
        <w:rPr>
          <w:rFonts w:hint="eastAsia" w:ascii="仿宋_GB2312" w:eastAsia="仿宋_GB2312"/>
          <w:color w:val="000000" w:themeColor="text1"/>
          <w:sz w:val="32"/>
          <w:szCs w:val="32"/>
          <w14:textFill>
            <w14:solidFill>
              <w14:schemeClr w14:val="tx1"/>
            </w14:solidFill>
          </w14:textFill>
        </w:rPr>
        <w:t>；</w:t>
      </w:r>
      <w:bookmarkStart w:id="10" w:name="OLE_LINK2"/>
      <w:r>
        <w:rPr>
          <w:rFonts w:hint="eastAsia" w:ascii="仿宋_GB2312" w:eastAsia="仿宋_GB2312"/>
          <w:color w:val="000000" w:themeColor="text1"/>
          <w:sz w:val="32"/>
          <w:szCs w:val="32"/>
          <w14:textFill>
            <w14:solidFill>
              <w14:schemeClr w14:val="tx1"/>
            </w14:solidFill>
          </w14:textFill>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11" w:name="OLE_LINK3"/>
      <w:r>
        <w:rPr>
          <w:rFonts w:hint="eastAsia" w:ascii="仿宋_GB2312" w:eastAsia="仿宋_GB2312"/>
          <w:color w:val="000000" w:themeColor="text1"/>
          <w:sz w:val="32"/>
          <w:szCs w:val="32"/>
          <w14:textFill>
            <w14:solidFill>
              <w14:schemeClr w14:val="tx1"/>
            </w14:solidFill>
          </w14:textFill>
        </w:rPr>
        <w:t>事业收入</w:t>
      </w:r>
      <w:bookmarkEnd w:id="11"/>
      <w:r>
        <w:rPr>
          <w:rFonts w:hint="eastAsia" w:ascii="仿宋_GB2312" w:eastAsia="仿宋_GB2312"/>
          <w:sz w:val="32"/>
          <w:szCs w:val="32"/>
        </w:rPr>
        <w:t>80.36</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23.97%</w:t>
      </w:r>
      <w:r>
        <w:rPr>
          <w:rFonts w:hint="eastAsia" w:ascii="仿宋_GB2312" w:eastAsia="仿宋_GB2312"/>
          <w:color w:val="000000" w:themeColor="text1"/>
          <w:sz w:val="32"/>
          <w:szCs w:val="32"/>
          <w14:textFill>
            <w14:solidFill>
              <w14:schemeClr w14:val="tx1"/>
            </w14:solidFill>
          </w14:textFill>
        </w:rPr>
        <w:t>；</w:t>
      </w:r>
      <w:bookmarkStart w:id="12" w:name="OLE_LINK4"/>
      <w:r>
        <w:rPr>
          <w:rFonts w:hint="eastAsia" w:ascii="仿宋_GB2312" w:eastAsia="仿宋_GB2312"/>
          <w:color w:val="000000" w:themeColor="text1"/>
          <w:sz w:val="32"/>
          <w:szCs w:val="32"/>
          <w14:textFill>
            <w14:solidFill>
              <w14:schemeClr w14:val="tx1"/>
            </w14:solidFill>
          </w14:textFill>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13" w:name="OLE_LINK5"/>
      <w:r>
        <w:rPr>
          <w:rFonts w:hint="eastAsia" w:ascii="仿宋_GB2312" w:eastAsia="仿宋_GB2312"/>
          <w:color w:val="000000" w:themeColor="text1"/>
          <w:sz w:val="32"/>
          <w:szCs w:val="32"/>
          <w14:textFill>
            <w14:solidFill>
              <w14:schemeClr w14:val="tx1"/>
            </w14:solidFill>
          </w14:textFill>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14" w:name="OLE_LINK6"/>
      <w:r>
        <w:rPr>
          <w:rFonts w:hint="eastAsia" w:ascii="仿宋_GB2312" w:eastAsia="仿宋_GB2312"/>
          <w:color w:val="000000" w:themeColor="text1"/>
          <w:sz w:val="32"/>
          <w:szCs w:val="32"/>
          <w14:textFill>
            <w14:solidFill>
              <w14:schemeClr w14:val="tx1"/>
            </w14:solidFill>
          </w14:textFill>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14:textFill>
            <w14:solidFill>
              <w14:schemeClr w14:val="tx1"/>
            </w14:solidFill>
          </w14:textFill>
        </w:rPr>
        <w:t>况：本年收入年初预算数374.25万元</w:t>
      </w:r>
      <w:r>
        <w:rPr>
          <w:rFonts w:hint="eastAsia" w:ascii="仿宋_GB2312" w:eastAsia="仿宋_GB2312"/>
          <w:sz w:val="32"/>
          <w:szCs w:val="32"/>
        </w:rPr>
        <w:t>，决算数335.19万元</w:t>
      </w:r>
      <w:r>
        <w:rPr>
          <w:rFonts w:ascii="仿宋_GB2312" w:eastAsia="仿宋_GB2312"/>
          <w:sz w:val="32"/>
          <w:szCs w:val="32"/>
        </w:rPr>
        <w:t>，预决算差异率-10.44%，差异主要原因是</w:t>
      </w:r>
      <w:r>
        <w:rPr>
          <w:rFonts w:hint="eastAsia" w:ascii="仿宋_GB2312" w:eastAsia="仿宋_GB2312"/>
          <w:sz w:val="32"/>
          <w:szCs w:val="32"/>
        </w:rPr>
        <w:t>：</w:t>
      </w:r>
      <w:r>
        <w:rPr>
          <w:rFonts w:ascii="仿宋_GB2312" w:eastAsia="仿宋_GB2312"/>
          <w:sz w:val="32"/>
          <w:szCs w:val="32"/>
        </w:rPr>
        <w:t>在开展工作过程中，我院根据上级要求进一步精简了公共卫生职能，且我院接诊与体检人数有所减少，一系列的措施使得我院收入相比年初预算有所下降。</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14:textFill>
            <w14:solidFill>
              <w14:schemeClr w14:val="tx1"/>
            </w14:solidFill>
          </w14:textFill>
        </w:rPr>
      </w:pPr>
      <w:bookmarkStart w:id="16" w:name="OLE_LINK7"/>
      <w:r>
        <w:rPr>
          <w:rFonts w:hint="eastAsia" w:ascii="仿宋_GB2312" w:eastAsia="仿宋_GB2312"/>
          <w:color w:val="000000" w:themeColor="text1"/>
          <w:sz w:val="32"/>
          <w:szCs w:val="32"/>
          <w14:textFill>
            <w14:solidFill>
              <w14:schemeClr w14:val="tx1"/>
            </w14:solidFill>
          </w14:textFill>
        </w:rPr>
        <w:t>本年支出合计</w:t>
      </w:r>
      <w:bookmarkEnd w:id="16"/>
      <w:r>
        <w:rPr>
          <w:rFonts w:hint="eastAsia" w:ascii="仿宋_GB2312" w:eastAsia="仿宋_GB2312"/>
          <w:sz w:val="32"/>
          <w:szCs w:val="32"/>
        </w:rPr>
        <w:t>317.77</w:t>
      </w:r>
      <w:r>
        <w:rPr>
          <w:rFonts w:hint="eastAsia" w:ascii="仿宋_GB2312" w:eastAsia="仿宋_GB2312"/>
          <w:color w:val="000000" w:themeColor="text1"/>
          <w:sz w:val="32"/>
          <w:szCs w:val="32"/>
          <w14:textFill>
            <w14:solidFill>
              <w14:schemeClr w14:val="tx1"/>
            </w14:solidFill>
          </w14:textFill>
        </w:rPr>
        <w:t>万元，其中：</w:t>
      </w:r>
      <w:bookmarkStart w:id="17" w:name="OLE_LINK8"/>
      <w:r>
        <w:rPr>
          <w:rFonts w:hint="eastAsia" w:ascii="仿宋_GB2312" w:eastAsia="仿宋_GB2312"/>
          <w:color w:val="000000" w:themeColor="text1"/>
          <w:sz w:val="32"/>
          <w:szCs w:val="32"/>
          <w14:textFill>
            <w14:solidFill>
              <w14:schemeClr w14:val="tx1"/>
            </w14:solidFill>
          </w14:textFill>
        </w:rPr>
        <w:t>基本支出</w:t>
      </w:r>
      <w:bookmarkEnd w:id="17"/>
      <w:r>
        <w:rPr>
          <w:rFonts w:hint="eastAsia" w:ascii="仿宋_GB2312" w:eastAsia="仿宋_GB2312"/>
          <w:sz w:val="32"/>
          <w:szCs w:val="32"/>
        </w:rPr>
        <w:t>306.98</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96.6%</w:t>
      </w:r>
      <w:r>
        <w:rPr>
          <w:rFonts w:hint="eastAsia" w:ascii="仿宋_GB2312" w:eastAsia="仿宋_GB2312"/>
          <w:color w:val="000000" w:themeColor="text1"/>
          <w:sz w:val="32"/>
          <w:szCs w:val="32"/>
          <w14:textFill>
            <w14:solidFill>
              <w14:schemeClr w14:val="tx1"/>
            </w14:solidFill>
          </w14:textFill>
        </w:rPr>
        <w:t>；</w:t>
      </w:r>
      <w:bookmarkStart w:id="18" w:name="OLE_LINK9"/>
      <w:r>
        <w:rPr>
          <w:rFonts w:hint="eastAsia" w:ascii="仿宋_GB2312" w:eastAsia="仿宋_GB2312"/>
          <w:color w:val="000000" w:themeColor="text1"/>
          <w:sz w:val="32"/>
          <w:szCs w:val="32"/>
          <w14:textFill>
            <w14:solidFill>
              <w14:schemeClr w14:val="tx1"/>
            </w14:solidFill>
          </w14:textFill>
        </w:rPr>
        <w:t>项目支出</w:t>
      </w:r>
      <w:bookmarkEnd w:id="18"/>
      <w:r>
        <w:rPr>
          <w:rFonts w:hint="eastAsia" w:ascii="仿宋_GB2312" w:eastAsia="仿宋_GB2312"/>
          <w:sz w:val="32"/>
          <w:szCs w:val="32"/>
        </w:rPr>
        <w:t>10.8</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3.4%</w:t>
      </w:r>
      <w:r>
        <w:rPr>
          <w:rFonts w:hint="eastAsia" w:ascii="仿宋_GB2312" w:eastAsia="仿宋_GB2312"/>
          <w:color w:val="000000" w:themeColor="text1"/>
          <w:sz w:val="32"/>
          <w:szCs w:val="32"/>
          <w14:textFill>
            <w14:solidFill>
              <w14:schemeClr w14:val="tx1"/>
            </w14:solidFill>
          </w14:textFill>
        </w:rPr>
        <w:t>；</w:t>
      </w:r>
      <w:bookmarkStart w:id="19" w:name="OLE_LINK10"/>
      <w:r>
        <w:rPr>
          <w:rFonts w:hint="eastAsia" w:ascii="仿宋_GB2312" w:eastAsia="仿宋_GB2312"/>
          <w:color w:val="000000" w:themeColor="text1"/>
          <w:sz w:val="32"/>
          <w:szCs w:val="32"/>
          <w14:textFill>
            <w14:solidFill>
              <w14:schemeClr w14:val="tx1"/>
            </w14:solidFill>
          </w14:textFill>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20" w:name="OLE_LINK11"/>
      <w:r>
        <w:rPr>
          <w:rFonts w:hint="eastAsia" w:ascii="仿宋_GB2312" w:eastAsia="仿宋_GB2312"/>
          <w:color w:val="000000" w:themeColor="text1"/>
          <w:spacing w:val="-6"/>
          <w:sz w:val="32"/>
          <w:szCs w:val="32"/>
          <w14:textFill>
            <w14:solidFill>
              <w14:schemeClr w14:val="tx1"/>
            </w14:solidFill>
          </w14:textFill>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14:textFill>
            <w14:solidFill>
              <w14:schemeClr w14:val="tx1"/>
            </w14:solidFill>
          </w14:textFill>
        </w:rPr>
        <w:t>；</w:t>
      </w:r>
      <w:bookmarkStart w:id="21" w:name="OLE_LINK12"/>
      <w:r>
        <w:rPr>
          <w:rFonts w:hint="eastAsia" w:ascii="仿宋_GB2312" w:eastAsia="仿宋_GB2312"/>
          <w:color w:val="000000" w:themeColor="text1"/>
          <w:spacing w:val="-6"/>
          <w:sz w:val="32"/>
          <w:szCs w:val="32"/>
          <w14:textFill>
            <w14:solidFill>
              <w14:schemeClr w14:val="tx1"/>
            </w14:solidFill>
          </w14:textFill>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14:textFill>
            <w14:solidFill>
              <w14:schemeClr w14:val="tx1"/>
            </w14:solidFill>
          </w14:textFill>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14:textFill>
            <w14:solidFill>
              <w14:schemeClr w14:val="tx1"/>
            </w14:solidFill>
          </w14:textFill>
        </w:rPr>
        <w:t>与年初预算数相比情况：本年支出年初预算数374.25万元，</w:t>
      </w:r>
      <w:r>
        <w:rPr>
          <w:rFonts w:hint="eastAsia" w:ascii="仿宋_GB2312" w:eastAsia="仿宋_GB2312"/>
          <w:sz w:val="32"/>
          <w:szCs w:val="32"/>
        </w:rPr>
        <w:t>决算数317.77万元</w:t>
      </w:r>
      <w:r>
        <w:rPr>
          <w:rFonts w:ascii="仿宋_GB2312" w:eastAsia="仿宋_GB2312"/>
          <w:sz w:val="32"/>
          <w:szCs w:val="32"/>
        </w:rPr>
        <w:t>，预决算差异率-15.09%，差异主要原因是</w:t>
      </w:r>
      <w:r>
        <w:rPr>
          <w:rFonts w:hint="eastAsia" w:ascii="仿宋_GB2312" w:eastAsia="仿宋_GB2312"/>
          <w:sz w:val="32"/>
          <w:szCs w:val="32"/>
        </w:rPr>
        <w:t>：</w:t>
      </w:r>
      <w:r>
        <w:rPr>
          <w:rFonts w:ascii="仿宋_GB2312" w:eastAsia="仿宋_GB2312"/>
          <w:sz w:val="32"/>
          <w:szCs w:val="32"/>
        </w:rPr>
        <w:t>在开展工作过程中，我院根据上级要求进一步精简了公共卫生职能，且我院接诊与体检人数有所减少，一系列的措施使得我院支出相比年初预算有所下降。</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23" w:name="OLE_LINK57"/>
      <w:bookmarkStart w:id="24" w:name="OLE_LINK58"/>
      <w:r>
        <w:rPr>
          <w:rFonts w:hint="eastAsia" w:ascii="仿宋_GB2312" w:eastAsia="仿宋_GB2312"/>
          <w:color w:val="000000" w:themeColor="text1"/>
          <w:sz w:val="32"/>
          <w:szCs w:val="32"/>
          <w14:textFill>
            <w14:solidFill>
              <w14:schemeClr w14:val="tx1"/>
            </w14:solidFill>
          </w14:textFill>
        </w:rPr>
        <w:t>2018年度</w:t>
      </w:r>
      <w:bookmarkStart w:id="25" w:name="OLE_LINK13"/>
      <w:r>
        <w:rPr>
          <w:rFonts w:hint="eastAsia" w:ascii="仿宋_GB2312" w:eastAsia="仿宋_GB2312"/>
          <w:color w:val="000000" w:themeColor="text1"/>
          <w:sz w:val="32"/>
          <w:szCs w:val="32"/>
          <w14:textFill>
            <w14:solidFill>
              <w14:schemeClr w14:val="tx1"/>
            </w14:solidFill>
          </w14:textFill>
        </w:rPr>
        <w:t>财政拨款收入</w:t>
      </w:r>
      <w:bookmarkEnd w:id="25"/>
      <w:r>
        <w:rPr>
          <w:rFonts w:hint="eastAsia" w:ascii="仿宋_GB2312" w:eastAsia="仿宋_GB2312"/>
          <w:sz w:val="32"/>
          <w:szCs w:val="32"/>
        </w:rPr>
        <w:t>254.83</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，与上年相比，增加33.79万元，增长15.29%，增加的主要原因是：职工工资的进一步增加，职工待遇的进一步提高。</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14:textFill>
            <w14:solidFill>
              <w14:schemeClr w14:val="tx1"/>
            </w14:solidFill>
          </w14:textFill>
        </w:rPr>
        <w:t>财政拨款支出</w:t>
      </w:r>
      <w:bookmarkEnd w:id="26"/>
      <w:r>
        <w:rPr>
          <w:rFonts w:hint="eastAsia" w:ascii="仿宋_GB2312" w:eastAsia="仿宋_GB2312"/>
          <w:sz w:val="32"/>
          <w:szCs w:val="32"/>
        </w:rPr>
        <w:t>254.83</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，与上年相比，增加33.79万元，增长15.29%，增加的主要原因是：</w:t>
      </w:r>
      <w:r>
        <w:rPr>
          <w:rFonts w:ascii="仿宋_GB2312" w:eastAsia="仿宋_GB2312"/>
          <w:sz w:val="32"/>
          <w:szCs w:val="32"/>
        </w:rPr>
        <w:t>职工工资的进一步增加，职工待遇的进一步提高。</w:t>
      </w:r>
      <w:bookmarkEnd w:id="27"/>
      <w:bookmarkEnd w:id="28"/>
      <w:bookmarkStart w:id="29" w:name="OLE_LINK61"/>
      <w:r>
        <w:rPr>
          <w:rFonts w:hint="eastAsia" w:ascii="仿宋_GB2312" w:eastAsia="仿宋_GB2312"/>
          <w:color w:val="000000" w:themeColor="text1"/>
          <w:sz w:val="32"/>
          <w:szCs w:val="32"/>
          <w14:textFill>
            <w14:solidFill>
              <w14:schemeClr w14:val="tx1"/>
            </w14:solidFill>
          </w14:textFill>
        </w:rPr>
        <w:t>其中：</w:t>
      </w:r>
      <w:bookmarkStart w:id="30" w:name="OLE_LINK15"/>
      <w:r>
        <w:rPr>
          <w:rFonts w:hint="eastAsia" w:ascii="仿宋_GB2312" w:eastAsia="仿宋_GB2312"/>
          <w:color w:val="000000" w:themeColor="text1"/>
          <w:sz w:val="32"/>
          <w:szCs w:val="32"/>
          <w14:textFill>
            <w14:solidFill>
              <w14:schemeClr w14:val="tx1"/>
            </w14:solidFill>
          </w14:textFill>
        </w:rPr>
        <w:t>基本支出</w:t>
      </w:r>
      <w:bookmarkEnd w:id="30"/>
      <w:r>
        <w:rPr>
          <w:rFonts w:hint="eastAsia" w:ascii="仿宋_GB2312" w:eastAsia="仿宋_GB2312"/>
          <w:sz w:val="32"/>
          <w:szCs w:val="32"/>
        </w:rPr>
        <w:t>244.03</w:t>
      </w:r>
      <w:r>
        <w:rPr>
          <w:rFonts w:hint="eastAsia" w:ascii="仿宋_GB2312" w:eastAsia="仿宋_GB2312"/>
          <w:color w:val="000000" w:themeColor="text1"/>
          <w:sz w:val="32"/>
          <w:szCs w:val="32"/>
          <w14:textFill>
            <w14:solidFill>
              <w14:schemeClr w14:val="tx1"/>
            </w14:solidFill>
          </w14:textFill>
        </w:rPr>
        <w:t>万元，项目支出</w:t>
      </w:r>
      <w:r>
        <w:rPr>
          <w:rFonts w:hint="eastAsia" w:ascii="仿宋_GB2312" w:eastAsia="仿宋_GB2312"/>
          <w:sz w:val="32"/>
          <w:szCs w:val="32"/>
        </w:rPr>
        <w:t>10.8</w:t>
      </w:r>
      <w:r>
        <w:rPr>
          <w:rFonts w:hint="eastAsia" w:ascii="仿宋_GB2312" w:eastAsia="仿宋_GB2312"/>
          <w:color w:val="000000" w:themeColor="text1"/>
          <w:sz w:val="32"/>
          <w:szCs w:val="32"/>
          <w14:textFill>
            <w14:solidFill>
              <w14:schemeClr w14:val="tx1"/>
            </w14:solidFill>
          </w14:textFill>
        </w:rPr>
        <w:t>万元。</w:t>
      </w:r>
      <w:bookmarkStart w:id="31" w:name="OLE_LINK16"/>
      <w:r>
        <w:rPr>
          <w:rFonts w:hint="eastAsia" w:ascii="仿宋_GB2312" w:eastAsia="仿宋_GB2312"/>
          <w:color w:val="000000" w:themeColor="text1"/>
          <w:sz w:val="32"/>
          <w:szCs w:val="32"/>
          <w14:textFill>
            <w14:solidFill>
              <w14:schemeClr w14:val="tx1"/>
            </w14:solidFill>
          </w14:textFill>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，与上年相比增加0万元，增长0%，主要原因是：资金执行到位，年末无结余。</w:t>
      </w:r>
      <w:bookmarkEnd w:id="29"/>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32" w:name="OLE_LINK62"/>
      <w:r>
        <w:rPr>
          <w:rFonts w:hint="eastAsia" w:ascii="仿宋_GB2312" w:eastAsia="仿宋_GB2312"/>
          <w:color w:val="000000" w:themeColor="text1"/>
          <w:sz w:val="32"/>
          <w:szCs w:val="32"/>
          <w14:textFill>
            <w14:solidFill>
              <w14:schemeClr w14:val="tx1"/>
            </w14:solidFill>
          </w14:textFill>
        </w:rPr>
        <w:t>与年初预算数相比情况：财政拨款收入年初预算数</w:t>
      </w:r>
      <w:r>
        <w:rPr>
          <w:rFonts w:ascii="仿宋_GB2312" w:eastAsia="仿宋_GB2312"/>
          <w:color w:val="000000" w:themeColor="text1"/>
          <w:sz w:val="32"/>
          <w:szCs w:val="32"/>
          <w14:textFill>
            <w14:solidFill>
              <w14:schemeClr w14:val="tx1"/>
            </w14:solidFill>
          </w14:textFill>
        </w:rPr>
        <w:t>374.25</w:t>
      </w:r>
      <w:r>
        <w:rPr>
          <w:rFonts w:hint="eastAsia" w:ascii="仿宋_GB2312" w:eastAsia="仿宋_GB2312"/>
          <w:color w:val="000000" w:themeColor="text1"/>
          <w:sz w:val="32"/>
          <w:szCs w:val="32"/>
          <w14:textFill>
            <w14:solidFill>
              <w14:schemeClr w14:val="tx1"/>
            </w14:solidFill>
          </w14:textFill>
        </w:rPr>
        <w:t>万元，决算数</w:t>
      </w:r>
      <w:r>
        <w:rPr>
          <w:rFonts w:hint="eastAsia" w:ascii="仿宋_GB2312" w:eastAsia="仿宋_GB2312"/>
          <w:sz w:val="32"/>
          <w:szCs w:val="32"/>
        </w:rPr>
        <w:t>254.83</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，预决算差异率-31.91%，差异主要原因是</w:t>
      </w:r>
      <w:r>
        <w:rPr>
          <w:rFonts w:hint="eastAsia" w:ascii="仿宋_GB2312" w:eastAsia="仿宋_GB2312"/>
          <w:color w:val="000000" w:themeColor="text1"/>
          <w:sz w:val="32"/>
          <w:szCs w:val="32"/>
          <w14:textFill>
            <w14:solidFill>
              <w14:schemeClr w14:val="tx1"/>
            </w14:solidFill>
          </w14:textFill>
        </w:rPr>
        <w:t>：</w:t>
      </w:r>
      <w:r>
        <w:rPr>
          <w:rFonts w:ascii="仿宋_GB2312" w:eastAsia="仿宋_GB2312"/>
          <w:color w:val="000000" w:themeColor="text1"/>
          <w:sz w:val="32"/>
          <w:szCs w:val="32"/>
          <w14:textFill>
            <w14:solidFill>
              <w14:schemeClr w14:val="tx1"/>
            </w14:solidFill>
          </w14:textFill>
        </w:rPr>
        <w:t>在预算编算过程中确存有计算不够准确的问题，且在项目具体执行过程中以及我院职工工资待遇的实际情况与年初预算时情况有较小的变化，这一系列因素导致我院年初预算数与决算数有差异。</w:t>
      </w:r>
      <w:bookmarkEnd w:id="32"/>
      <w:bookmarkStart w:id="33" w:name="OLE_LINK63"/>
      <w:r>
        <w:rPr>
          <w:rFonts w:hint="eastAsia" w:ascii="仿宋_GB2312" w:eastAsia="仿宋_GB2312"/>
          <w:color w:val="000000" w:themeColor="text1"/>
          <w:sz w:val="32"/>
          <w:szCs w:val="32"/>
          <w14:textFill>
            <w14:solidFill>
              <w14:schemeClr w14:val="tx1"/>
            </w14:solidFill>
          </w14:textFill>
        </w:rPr>
        <w:t>财政拨款支出年初预算数</w:t>
      </w:r>
      <w:r>
        <w:rPr>
          <w:rFonts w:ascii="仿宋_GB2312" w:eastAsia="仿宋_GB2312"/>
          <w:color w:val="000000" w:themeColor="text1"/>
          <w:sz w:val="32"/>
          <w:szCs w:val="32"/>
          <w14:textFill>
            <w14:solidFill>
              <w14:schemeClr w14:val="tx1"/>
            </w14:solidFill>
          </w14:textFill>
        </w:rPr>
        <w:t>374.25</w:t>
      </w:r>
      <w:r>
        <w:rPr>
          <w:rFonts w:hint="eastAsia" w:ascii="仿宋_GB2312" w:eastAsia="仿宋_GB2312"/>
          <w:color w:val="000000" w:themeColor="text1"/>
          <w:sz w:val="32"/>
          <w:szCs w:val="32"/>
          <w14:textFill>
            <w14:solidFill>
              <w14:schemeClr w14:val="tx1"/>
            </w14:solidFill>
          </w14:textFill>
        </w:rPr>
        <w:t>万元，决算数</w:t>
      </w:r>
      <w:r>
        <w:rPr>
          <w:rFonts w:hint="eastAsia" w:ascii="仿宋_GB2312" w:eastAsia="仿宋_GB2312"/>
          <w:sz w:val="32"/>
          <w:szCs w:val="32"/>
        </w:rPr>
        <w:t>254.83</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，预决算差异率-31.91%，差异主要原因是</w:t>
      </w:r>
      <w:r>
        <w:rPr>
          <w:rFonts w:hint="eastAsia" w:ascii="仿宋_GB2312" w:eastAsia="仿宋_GB2312"/>
          <w:color w:val="000000" w:themeColor="text1"/>
          <w:sz w:val="32"/>
          <w:szCs w:val="32"/>
          <w14:textFill>
            <w14:solidFill>
              <w14:schemeClr w14:val="tx1"/>
            </w14:solidFill>
          </w14:textFill>
        </w:rPr>
        <w:t>：</w:t>
      </w:r>
      <w:r>
        <w:rPr>
          <w:rFonts w:ascii="仿宋_GB2312" w:eastAsia="仿宋_GB2312"/>
          <w:color w:val="000000" w:themeColor="text1"/>
          <w:sz w:val="32"/>
          <w:szCs w:val="32"/>
          <w14:textFill>
            <w14:solidFill>
              <w14:schemeClr w14:val="tx1"/>
            </w14:solidFill>
          </w14:textFill>
        </w:rPr>
        <w:t>在预算编算过程中确存有计算不够准确的问题，且在项目具体执行过程中以及我院职工工资待遇的实际情况与年初预算时情况有较小的变化，这一系列因素导致我院年初预算数与决算数有差异。</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34" w:name="OLE_LINK64"/>
      <w:r>
        <w:rPr>
          <w:rFonts w:hint="eastAsia" w:ascii="仿宋_GB2312" w:eastAsia="仿宋_GB2312"/>
          <w:color w:val="000000" w:themeColor="text1"/>
          <w:sz w:val="32"/>
          <w:szCs w:val="32"/>
          <w14:textFill>
            <w14:solidFill>
              <w14:schemeClr w14:val="tx1"/>
            </w14:solidFill>
          </w14:textFill>
        </w:rPr>
        <w:t>2018年度</w:t>
      </w:r>
      <w:bookmarkStart w:id="35" w:name="OLE_LINK17"/>
      <w:r>
        <w:rPr>
          <w:rFonts w:hint="eastAsia" w:ascii="仿宋_GB2312" w:eastAsia="仿宋_GB2312"/>
          <w:color w:val="000000" w:themeColor="text1"/>
          <w:sz w:val="32"/>
          <w:szCs w:val="32"/>
          <w14:textFill>
            <w14:solidFill>
              <w14:schemeClr w14:val="tx1"/>
            </w14:solidFill>
          </w14:textFill>
        </w:rPr>
        <w:t>一般公共预算财政拨款收入</w:t>
      </w:r>
      <w:bookmarkEnd w:id="35"/>
      <w:r>
        <w:rPr>
          <w:rFonts w:ascii="仿宋_GB2312" w:eastAsia="仿宋_GB2312"/>
          <w:color w:val="000000" w:themeColor="text1"/>
          <w:sz w:val="32"/>
          <w:szCs w:val="32"/>
          <w14:textFill>
            <w14:solidFill>
              <w14:schemeClr w14:val="tx1"/>
            </w14:solidFill>
          </w14:textFill>
        </w:rPr>
        <w:t>254.83</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，与上年相比，增加33.79万元，增长15.29%，增加的主要原因是：职工工资的进一步增加，职工待遇的进一步提高。</w:t>
      </w:r>
      <w:bookmarkEnd w:id="34"/>
      <w:bookmarkStart w:id="36" w:name="OLE_LINK18"/>
      <w:bookmarkStart w:id="37" w:name="OLE_LINK65"/>
      <w:r>
        <w:rPr>
          <w:rFonts w:hint="eastAsia" w:ascii="仿宋_GB2312" w:eastAsia="仿宋_GB2312"/>
          <w:color w:val="000000" w:themeColor="text1"/>
          <w:sz w:val="32"/>
          <w:szCs w:val="32"/>
          <w14:textFill>
            <w14:solidFill>
              <w14:schemeClr w14:val="tx1"/>
            </w14:solidFill>
          </w14:textFill>
        </w:rPr>
        <w:t>一般公共预算财政拨款支出</w:t>
      </w:r>
      <w:r>
        <w:rPr>
          <w:rFonts w:hint="eastAsia" w:ascii="仿宋_GB2312" w:eastAsia="仿宋_GB2312"/>
          <w:sz w:val="32"/>
          <w:szCs w:val="32"/>
        </w:rPr>
        <w:t>254.83</w:t>
      </w:r>
      <w:r>
        <w:rPr>
          <w:rFonts w:hint="eastAsia" w:ascii="仿宋_GB2312" w:eastAsia="仿宋_GB2312"/>
          <w:color w:val="000000" w:themeColor="text1"/>
          <w:sz w:val="32"/>
          <w:szCs w:val="32"/>
          <w14:textFill>
            <w14:solidFill>
              <w14:schemeClr w14:val="tx1"/>
            </w14:solidFill>
          </w14:textFill>
        </w:rPr>
        <w:t>万元</w:t>
      </w:r>
      <w:bookmarkEnd w:id="36"/>
      <w:r>
        <w:rPr>
          <w:rFonts w:hint="eastAsia" w:ascii="仿宋_GB2312" w:eastAsia="仿宋_GB2312"/>
          <w:sz w:val="32"/>
          <w:szCs w:val="32"/>
        </w:rPr>
        <w:t>，与上年相比，增加33.79万元，增长15.29%，增加的主要原因是：职工工资的进一步增加，职工待遇的进一步提高。</w:t>
      </w:r>
      <w:bookmarkEnd w:id="37"/>
      <w:r>
        <w:rPr>
          <w:rFonts w:hint="eastAsia" w:ascii="仿宋_GB2312" w:eastAsia="仿宋_GB2312"/>
          <w:color w:val="000000" w:themeColor="text1"/>
          <w:sz w:val="32"/>
          <w:szCs w:val="32"/>
          <w14:textFill>
            <w14:solidFill>
              <w14:schemeClr w14:val="tx1"/>
            </w14:solidFill>
          </w14:textFill>
        </w:rPr>
        <w:t>其中：</w:t>
      </w:r>
      <w:bookmarkStart w:id="38" w:name="OLE_LINK19"/>
      <w:r>
        <w:rPr>
          <w:rFonts w:hint="eastAsia" w:ascii="仿宋_GB2312" w:eastAsia="仿宋_GB2312"/>
          <w:color w:val="000000" w:themeColor="text1"/>
          <w:sz w:val="32"/>
          <w:szCs w:val="32"/>
          <w14:textFill>
            <w14:solidFill>
              <w14:schemeClr w14:val="tx1"/>
            </w14:solidFill>
          </w14:textFill>
        </w:rPr>
        <w:t>按功能分类科目（按类级科目公开）</w:t>
      </w:r>
      <w:bookmarkEnd w:id="38"/>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sz w:val="32"/>
          <w:szCs w:val="32"/>
        </w:rPr>
        <w:t>医疗卫生与优生优育支出219.65万元,住房保障支出13.83万元,社会保障和就业支出21.34万元。</w:t>
      </w:r>
      <w:bookmarkStart w:id="39" w:name="OLE_LINK20"/>
      <w:bookmarkStart w:id="40" w:name="OLE_LINK21"/>
      <w:r>
        <w:rPr>
          <w:rFonts w:hint="eastAsia" w:ascii="仿宋_GB2312" w:eastAsia="仿宋_GB2312"/>
          <w:color w:val="000000" w:themeColor="text1"/>
          <w:sz w:val="32"/>
          <w:szCs w:val="32"/>
          <w14:textFill>
            <w14:solidFill>
              <w14:schemeClr w14:val="tx1"/>
            </w14:solidFill>
          </w14:textFill>
        </w:rPr>
        <w:t>按经济分类科目</w:t>
      </w:r>
      <w:bookmarkEnd w:id="39"/>
      <w:r>
        <w:rPr>
          <w:rFonts w:hint="eastAsia" w:ascii="仿宋_GB2312" w:eastAsia="仿宋_GB2312"/>
          <w:color w:val="000000" w:themeColor="text1"/>
          <w:sz w:val="32"/>
          <w:szCs w:val="32"/>
          <w14:textFill>
            <w14:solidFill>
              <w14:schemeClr w14:val="tx1"/>
            </w14:solidFill>
          </w14:textFill>
        </w:rPr>
        <w:t>（按类级科目公开）</w:t>
      </w:r>
      <w:bookmarkEnd w:id="40"/>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sz w:val="32"/>
          <w:szCs w:val="32"/>
        </w:rPr>
        <w:t>工资福利支出236.36万元,商品和服务支出10.</w:t>
      </w:r>
      <w:r>
        <w:rPr>
          <w:rFonts w:hint="eastAsia" w:ascii="仿宋_GB2312" w:eastAsia="仿宋_GB2312"/>
          <w:sz w:val="32"/>
          <w:szCs w:val="32"/>
          <w:lang w:val="en-US" w:eastAsia="zh-CN"/>
        </w:rPr>
        <w:t>79</w:t>
      </w:r>
      <w:bookmarkStart w:id="57" w:name="_GoBack"/>
      <w:bookmarkEnd w:id="57"/>
      <w:r>
        <w:rPr>
          <w:rFonts w:hint="eastAsia" w:ascii="仿宋_GB2312" w:eastAsia="仿宋_GB2312"/>
          <w:sz w:val="32"/>
          <w:szCs w:val="32"/>
        </w:rPr>
        <w:t>万元,对个人和家庭的补助7.68万元。</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41" w:name="OLE_LINK66"/>
      <w:bookmarkStart w:id="42" w:name="OLE_LINK67"/>
      <w:r>
        <w:rPr>
          <w:rFonts w:hint="eastAsia" w:ascii="仿宋_GB2312" w:eastAsia="仿宋_GB2312"/>
          <w:color w:val="000000" w:themeColor="text1"/>
          <w:sz w:val="32"/>
          <w:szCs w:val="32"/>
          <w14:textFill>
            <w14:solidFill>
              <w14:schemeClr w14:val="tx1"/>
            </w14:solidFill>
          </w14:textFill>
        </w:rPr>
        <w:t>与年初预算数相比情况：一般公共预算财政拨款收入年初预算数</w:t>
      </w:r>
      <w:r>
        <w:rPr>
          <w:rFonts w:ascii="仿宋_GB2312" w:eastAsia="仿宋_GB2312"/>
          <w:color w:val="000000" w:themeColor="text1"/>
          <w:sz w:val="32"/>
          <w:szCs w:val="32"/>
          <w14:textFill>
            <w14:solidFill>
              <w14:schemeClr w14:val="tx1"/>
            </w14:solidFill>
          </w14:textFill>
        </w:rPr>
        <w:t>374.25</w:t>
      </w:r>
      <w:r>
        <w:rPr>
          <w:rFonts w:hint="eastAsia" w:ascii="仿宋_GB2312" w:eastAsia="仿宋_GB2312"/>
          <w:color w:val="000000" w:themeColor="text1"/>
          <w:sz w:val="32"/>
          <w:szCs w:val="32"/>
          <w14:textFill>
            <w14:solidFill>
              <w14:schemeClr w14:val="tx1"/>
            </w14:solidFill>
          </w14:textFill>
        </w:rPr>
        <w:t>万元，决算数</w:t>
      </w:r>
      <w:r>
        <w:rPr>
          <w:rFonts w:ascii="仿宋_GB2312" w:eastAsia="仿宋_GB2312"/>
          <w:color w:val="000000" w:themeColor="text1"/>
          <w:sz w:val="32"/>
          <w:szCs w:val="32"/>
          <w14:textFill>
            <w14:solidFill>
              <w14:schemeClr w14:val="tx1"/>
            </w14:solidFill>
          </w14:textFill>
        </w:rPr>
        <w:t>254.83</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，预决算差异率-31.91%，差异主要原因是</w:t>
      </w:r>
      <w:r>
        <w:rPr>
          <w:rFonts w:hint="eastAsia" w:ascii="仿宋_GB2312" w:eastAsia="仿宋_GB2312"/>
          <w:color w:val="000000" w:themeColor="text1"/>
          <w:sz w:val="32"/>
          <w:szCs w:val="32"/>
          <w14:textFill>
            <w14:solidFill>
              <w14:schemeClr w14:val="tx1"/>
            </w14:solidFill>
          </w14:textFill>
        </w:rPr>
        <w:t>：</w:t>
      </w:r>
      <w:r>
        <w:rPr>
          <w:rFonts w:ascii="仿宋_GB2312" w:eastAsia="仿宋_GB2312"/>
          <w:color w:val="000000" w:themeColor="text1"/>
          <w:sz w:val="32"/>
          <w:szCs w:val="32"/>
          <w14:textFill>
            <w14:solidFill>
              <w14:schemeClr w14:val="tx1"/>
            </w14:solidFill>
          </w14:textFill>
        </w:rPr>
        <w:t>在预算编算过程中确存有计算不够准确的问题，且在项目具体执行过程中以及我院职工工资待遇的实际情况与年初预算时情况有较小的变化，这一系列因素导致我院年初预算数与决算数有差异。</w:t>
      </w:r>
      <w:bookmarkEnd w:id="41"/>
      <w:bookmarkEnd w:id="42"/>
      <w:bookmarkStart w:id="43" w:name="OLE_LINK68"/>
      <w:r>
        <w:rPr>
          <w:rFonts w:hint="eastAsia" w:ascii="仿宋_GB2312" w:eastAsia="仿宋_GB2312"/>
          <w:color w:val="000000" w:themeColor="text1"/>
          <w:sz w:val="32"/>
          <w:szCs w:val="32"/>
          <w14:textFill>
            <w14:solidFill>
              <w14:schemeClr w14:val="tx1"/>
            </w14:solidFill>
          </w14:textFill>
        </w:rPr>
        <w:t>一般公共预算财政拨款支出年初预算数</w:t>
      </w:r>
      <w:r>
        <w:rPr>
          <w:rFonts w:ascii="仿宋_GB2312" w:eastAsia="仿宋_GB2312"/>
          <w:color w:val="000000" w:themeColor="text1"/>
          <w:sz w:val="32"/>
          <w:szCs w:val="32"/>
          <w14:textFill>
            <w14:solidFill>
              <w14:schemeClr w14:val="tx1"/>
            </w14:solidFill>
          </w14:textFill>
        </w:rPr>
        <w:t>374.25</w:t>
      </w:r>
      <w:r>
        <w:rPr>
          <w:rFonts w:hint="eastAsia" w:ascii="仿宋_GB2312" w:eastAsia="仿宋_GB2312"/>
          <w:color w:val="000000" w:themeColor="text1"/>
          <w:sz w:val="32"/>
          <w:szCs w:val="32"/>
          <w14:textFill>
            <w14:solidFill>
              <w14:schemeClr w14:val="tx1"/>
            </w14:solidFill>
          </w14:textFill>
        </w:rPr>
        <w:t>万元，决算数</w:t>
      </w:r>
      <w:r>
        <w:rPr>
          <w:rFonts w:ascii="仿宋_GB2312" w:eastAsia="仿宋_GB2312"/>
          <w:color w:val="000000" w:themeColor="text1"/>
          <w:sz w:val="32"/>
          <w:szCs w:val="32"/>
          <w14:textFill>
            <w14:solidFill>
              <w14:schemeClr w14:val="tx1"/>
            </w14:solidFill>
          </w14:textFill>
        </w:rPr>
        <w:t>254.83</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，预决算差异率-31.91%，差异主要原因是</w:t>
      </w:r>
      <w:r>
        <w:rPr>
          <w:rFonts w:hint="eastAsia" w:ascii="仿宋_GB2312" w:eastAsia="仿宋_GB2312"/>
          <w:color w:val="000000" w:themeColor="text1"/>
          <w:sz w:val="32"/>
          <w:szCs w:val="32"/>
          <w14:textFill>
            <w14:solidFill>
              <w14:schemeClr w14:val="tx1"/>
            </w14:solidFill>
          </w14:textFill>
        </w:rPr>
        <w:t>：</w:t>
      </w:r>
      <w:r>
        <w:rPr>
          <w:rFonts w:ascii="仿宋_GB2312" w:eastAsia="仿宋_GB2312"/>
          <w:color w:val="000000" w:themeColor="text1"/>
          <w:sz w:val="32"/>
          <w:szCs w:val="32"/>
          <w14:textFill>
            <w14:solidFill>
              <w14:schemeClr w14:val="tx1"/>
            </w14:solidFill>
          </w14:textFill>
        </w:rPr>
        <w:t>在预算编算过程中确存有计算不够准确的问题，且在项目具体执行过程中以及我院职工工资待遇的实际情况与年初预算时情况有较小的变化，这一系列因素导致我院年初预算数与决算数有差异。</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44" w:name="OLE_LINK69"/>
      <w:r>
        <w:rPr>
          <w:rFonts w:hint="eastAsia" w:ascii="仿宋_GB2312" w:eastAsia="仿宋_GB2312"/>
          <w:color w:val="000000" w:themeColor="text1"/>
          <w:sz w:val="32"/>
          <w:szCs w:val="32"/>
          <w14:textFill>
            <w14:solidFill>
              <w14:schemeClr w14:val="tx1"/>
            </w14:solidFill>
          </w14:textFill>
        </w:rPr>
        <w:t>2018年度</w:t>
      </w:r>
      <w:bookmarkStart w:id="45" w:name="OLE_LINK22"/>
      <w:r>
        <w:rPr>
          <w:rFonts w:hint="eastAsia" w:ascii="仿宋_GB2312" w:eastAsia="仿宋_GB2312"/>
          <w:color w:val="000000" w:themeColor="text1"/>
          <w:sz w:val="32"/>
          <w:szCs w:val="32"/>
          <w14:textFill>
            <w14:solidFill>
              <w14:schemeClr w14:val="tx1"/>
            </w14:solidFill>
          </w14:textFill>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w:t>
      </w:r>
      <w:bookmarkEnd w:id="44"/>
      <w:bookmarkStart w:id="46" w:name="OLE_LINK23"/>
      <w:bookmarkStart w:id="47" w:name="OLE_LINK70"/>
      <w:r>
        <w:rPr>
          <w:rFonts w:hint="eastAsia" w:ascii="仿宋_GB2312" w:eastAsia="仿宋_GB2312"/>
          <w:sz w:val="32"/>
          <w:szCs w:val="32"/>
        </w:rPr>
        <w:t>与上年相比增加0万元，增长0%。</w:t>
      </w:r>
      <w:r>
        <w:rPr>
          <w:rFonts w:hint="eastAsia" w:ascii="仿宋_GB2312" w:eastAsia="仿宋_GB2312"/>
          <w:color w:val="000000" w:themeColor="text1"/>
          <w:sz w:val="32"/>
          <w:szCs w:val="32"/>
          <w14:textFill>
            <w14:solidFill>
              <w14:schemeClr w14:val="tx1"/>
            </w14:solidFill>
          </w14:textFill>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w:t>
      </w:r>
      <w:bookmarkEnd w:id="47"/>
      <w:r>
        <w:rPr>
          <w:rFonts w:hint="eastAsia" w:ascii="仿宋_GB2312" w:eastAsia="仿宋_GB2312"/>
          <w:sz w:val="32"/>
          <w:szCs w:val="32"/>
        </w:rPr>
        <w:t>与上年相比增加0万元，增长0%。</w:t>
      </w:r>
      <w:r>
        <w:rPr>
          <w:rFonts w:hint="eastAsia" w:ascii="仿宋_GB2312" w:eastAsia="仿宋_GB2312"/>
          <w:color w:val="000000" w:themeColor="text1"/>
          <w:sz w:val="32"/>
          <w:szCs w:val="32"/>
          <w14:textFill>
            <w14:solidFill>
              <w14:schemeClr w14:val="tx1"/>
            </w14:solidFill>
          </w14:textFill>
        </w:rPr>
        <w:t>其中：</w:t>
      </w:r>
      <w:bookmarkStart w:id="48" w:name="OLE_LINK24"/>
      <w:r>
        <w:rPr>
          <w:rFonts w:hint="eastAsia" w:ascii="仿宋_GB2312" w:eastAsia="仿宋_GB2312"/>
          <w:color w:val="000000" w:themeColor="text1"/>
          <w:sz w:val="32"/>
          <w:szCs w:val="32"/>
          <w14:textFill>
            <w14:solidFill>
              <w14:schemeClr w14:val="tx1"/>
            </w14:solidFill>
          </w14:textFill>
        </w:rPr>
        <w:t>按功能分类科目（按类级科目公开）</w:t>
      </w:r>
      <w:bookmarkEnd w:id="48"/>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sz w:val="32"/>
          <w:szCs w:val="32"/>
        </w:rPr>
        <w:t>无政府性基金收支</w:t>
      </w:r>
      <w:r>
        <w:rPr>
          <w:rFonts w:hint="eastAsia" w:ascii="仿宋_GB2312" w:eastAsia="仿宋_GB2312"/>
          <w:color w:val="000000" w:themeColor="text1"/>
          <w:sz w:val="32"/>
          <w:szCs w:val="32"/>
          <w14:textFill>
            <w14:solidFill>
              <w14:schemeClr w14:val="tx1"/>
            </w14:solidFill>
          </w14:textFill>
        </w:rPr>
        <w:t>。按经济分类科目（按类级科目公开），</w:t>
      </w:r>
      <w:r>
        <w:rPr>
          <w:rFonts w:hint="eastAsia" w:ascii="仿宋_GB2312" w:eastAsia="仿宋_GB2312"/>
          <w:sz w:val="32"/>
          <w:szCs w:val="32"/>
        </w:rPr>
        <w:t>无政府性基金收支</w:t>
      </w:r>
      <w:r>
        <w:rPr>
          <w:rFonts w:hint="eastAsia" w:ascii="仿宋_GB2312" w:eastAsia="仿宋_GB2312"/>
          <w:color w:val="000000" w:themeColor="text1"/>
          <w:sz w:val="32"/>
          <w:szCs w:val="32"/>
          <w14:textFill>
            <w14:solidFill>
              <w14:schemeClr w14:val="tx1"/>
            </w14:solidFill>
          </w14:textFill>
        </w:rPr>
        <w:t>。</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49" w:name="OLE_LINK71"/>
      <w:bookmarkStart w:id="50" w:name="OLE_LINK72"/>
      <w:r>
        <w:rPr>
          <w:rFonts w:hint="eastAsia" w:ascii="仿宋_GB2312" w:eastAsia="仿宋_GB2312"/>
          <w:color w:val="000000" w:themeColor="text1"/>
          <w:sz w:val="32"/>
          <w:szCs w:val="32"/>
          <w14:textFill>
            <w14:solidFill>
              <w14:schemeClr w14:val="tx1"/>
            </w14:solidFill>
          </w14:textFill>
        </w:rPr>
        <w:t>与年初预算数相比情况：政府性基金预算财政拨款收入年初预算数0万元，决算数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，预决算差异率0%，差异主要原因</w:t>
      </w:r>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sz w:val="32"/>
          <w:szCs w:val="32"/>
        </w:rPr>
        <w:t>无政府性基金收支</w:t>
      </w:r>
      <w:r>
        <w:rPr>
          <w:rFonts w:ascii="仿宋_GB2312" w:eastAsia="仿宋_GB2312"/>
          <w:color w:val="000000" w:themeColor="text1"/>
          <w:sz w:val="32"/>
          <w:szCs w:val="32"/>
          <w14:textFill>
            <w14:solidFill>
              <w14:schemeClr w14:val="tx1"/>
            </w14:solidFill>
          </w14:textFill>
        </w:rPr>
        <w:t>。</w:t>
      </w:r>
      <w:bookmarkEnd w:id="49"/>
      <w:bookmarkEnd w:id="50"/>
      <w:bookmarkStart w:id="51" w:name="OLE_LINK73"/>
      <w:r>
        <w:rPr>
          <w:rFonts w:hint="eastAsia" w:ascii="仿宋_GB2312" w:eastAsia="仿宋_GB2312"/>
          <w:color w:val="000000" w:themeColor="text1"/>
          <w:sz w:val="32"/>
          <w:szCs w:val="32"/>
          <w14:textFill>
            <w14:solidFill>
              <w14:schemeClr w14:val="tx1"/>
            </w14:solidFill>
          </w14:textFill>
        </w:rPr>
        <w:t>政府性基金预算财政拨款支出年初预算数0万元，决算数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，预决算差异率0%，差异主要原因是</w:t>
      </w:r>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sz w:val="32"/>
          <w:szCs w:val="32"/>
        </w:rPr>
        <w:t>无政府性基金收支</w:t>
      </w:r>
      <w:r>
        <w:rPr>
          <w:rFonts w:ascii="仿宋_GB2312" w:eastAsia="仿宋_GB2312"/>
          <w:color w:val="000000" w:themeColor="text1"/>
          <w:sz w:val="32"/>
          <w:szCs w:val="32"/>
          <w14:textFill>
            <w14:solidFill>
              <w14:schemeClr w14:val="tx1"/>
            </w14:solidFill>
          </w14:textFill>
        </w:rPr>
        <w:t>。</w:t>
      </w:r>
      <w:bookmarkEnd w:id="51"/>
    </w:p>
    <w:p>
      <w:pPr>
        <w:spacing w:line="54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年末结转结余0万元。与上年相比，增加0万元，增长0%。</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其中财政拨款结转结余0万元。与上年相比，增加0万元，增长0%。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一般公共预算“三公”经费支出决算0万元，比上年增加0万元，增长（降低）0%，原因是我单位未安排此项支出。其中，因公出国（境）费支出0万元，占0%，比上年增加0万元，增长0%，增加原因是我单位未安排此项支出；公务用车购置及运行维护费支出0万元，占0%，比上年增加0万元，增长0%，增加（减少）原因是我单位未安排此项支出；公务接待费支出0万元，占0%，比上年增加0万元，增长0%，增加原因是我单位未安排此项支出。具体情况如下：</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因公出国（境）费支出0万元。龙甫乡卫生院全年使用一般公共预算财政拨款安排的出国（境）团组0个，累计0人次。开支内容包括：无开支内容。</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公务用车购置及运行维护费0万元,其中，公务用车购置0万元，公务用车运行维护费0万元。无公务用车购置及运行维护费。单位一般公共财政拨款安排的公务用车购置量0辆，保有量为0辆。</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公务接待费0万元。具体是：国内公务接待支出0万元，无公务接待费开支。龙甫乡卫生院国内公务接待0批次，0人次。</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与年初预算数相比情况：一般公共预算“三公”经费支出年初预算数0万元，决算数0万元，预决算差异率0%，无差异主要原因本单位无此项预算安排。</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预算数0万元，决算数0万元，预决算差异率0%，无差异主要原因本单位无此项预算安排；</w:t>
      </w:r>
      <w:r>
        <w:rPr>
          <w:rFonts w:hint="eastAsia" w:ascii="仿宋_GB2312" w:hAnsi="宋体" w:eastAsia="仿宋_GB2312" w:cs="宋体"/>
          <w:kern w:val="0"/>
          <w:sz w:val="32"/>
          <w:szCs w:val="32"/>
        </w:rPr>
        <w:t>公务用车购置</w:t>
      </w:r>
      <w:r>
        <w:rPr>
          <w:rFonts w:hint="eastAsia" w:ascii="仿宋_GB2312" w:eastAsia="仿宋_GB2312"/>
          <w:sz w:val="32"/>
          <w:szCs w:val="32"/>
        </w:rPr>
        <w:t>预算数0万元，决算数0万元，预决算差异率0%，无差异主要原因本单位无此项预算安排；</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预算数0万元，决算数0万元，预决算差异率0%，无差异主要原因本单位无此项预算安排；</w:t>
      </w:r>
      <w:r>
        <w:rPr>
          <w:rFonts w:hint="eastAsia" w:ascii="仿宋_GB2312" w:hAnsi="宋体" w:eastAsia="仿宋_GB2312" w:cs="宋体"/>
          <w:kern w:val="0"/>
          <w:sz w:val="32"/>
          <w:szCs w:val="32"/>
        </w:rPr>
        <w:t>公务接待费</w:t>
      </w:r>
      <w:r>
        <w:rPr>
          <w:rFonts w:hint="eastAsia" w:ascii="仿宋_GB2312" w:eastAsia="仿宋_GB2312"/>
          <w:sz w:val="32"/>
          <w:szCs w:val="32"/>
        </w:rPr>
        <w:t>预算数0万元，决算数0万元，预决算差异率0%，无差异主要原因本单位无此项预算安排。</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sz w:val="32"/>
          <w:szCs w:val="32"/>
        </w:rPr>
        <w:t>2018年度</w:t>
      </w:r>
      <w:r>
        <w:rPr>
          <w:rFonts w:hint="eastAsia" w:ascii="仿宋_GB2312" w:eastAsia="仿宋_GB2312"/>
          <w:color w:val="000000" w:themeColor="text1"/>
          <w:sz w:val="32"/>
          <w:szCs w:val="32"/>
          <w14:textFill>
            <w14:solidFill>
              <w14:schemeClr w14:val="tx1"/>
            </w14:solidFill>
          </w14:textFill>
        </w:rPr>
        <w:t>新疆喀什地区英吉沙县龙甫乡卫生院日常公用经费0万元，与上年相比增加0万元，增长0%，</w:t>
      </w:r>
      <w:r>
        <w:rPr>
          <w:rFonts w:hint="eastAsia" w:ascii="仿宋_GB2312" w:eastAsia="仿宋_GB2312"/>
          <w:sz w:val="32"/>
          <w:szCs w:val="32"/>
        </w:rPr>
        <w:t>主要原因是</w:t>
      </w:r>
      <w:r>
        <w:rPr>
          <w:rFonts w:hint="eastAsia" w:ascii="仿宋_GB2312" w:eastAsia="仿宋_GB2312"/>
          <w:color w:val="000000" w:themeColor="text1"/>
          <w:sz w:val="32"/>
          <w:szCs w:val="32"/>
          <w14:textFill>
            <w14:solidFill>
              <w14:schemeClr w14:val="tx1"/>
            </w14:solidFill>
          </w14:textFill>
        </w:rPr>
        <w:t>我院为全额事业单位，支出均为事业支出，无日常公用经费支出。</w:t>
      </w:r>
    </w:p>
    <w:p>
      <w:pPr>
        <w:spacing w:line="54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六、政府采购情况</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2018年度</w:t>
      </w:r>
      <w:bookmarkStart w:id="52" w:name="OLE_LINK45"/>
      <w:r>
        <w:rPr>
          <w:rFonts w:hint="eastAsia" w:ascii="仿宋_GB2312" w:eastAsia="仿宋_GB2312"/>
          <w:color w:val="000000" w:themeColor="text1"/>
          <w:sz w:val="32"/>
          <w:szCs w:val="32"/>
          <w14:textFill>
            <w14:solidFill>
              <w14:schemeClr w14:val="tx1"/>
            </w14:solidFill>
          </w14:textFill>
        </w:rPr>
        <w:t>政府采购支出总额</w:t>
      </w:r>
      <w:bookmarkEnd w:id="52"/>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万元，其中：</w:t>
      </w:r>
      <w:bookmarkStart w:id="53" w:name="OLE_LINK46"/>
      <w:r>
        <w:rPr>
          <w:rFonts w:hint="eastAsia" w:ascii="仿宋_GB2312" w:eastAsia="仿宋_GB2312"/>
          <w:color w:val="000000" w:themeColor="text1"/>
          <w:sz w:val="32"/>
          <w:szCs w:val="32"/>
          <w14:textFill>
            <w14:solidFill>
              <w14:schemeClr w14:val="tx1"/>
            </w14:solidFill>
          </w14:textFill>
        </w:rPr>
        <w:t>政府采购货物支出</w:t>
      </w:r>
      <w:bookmarkEnd w:id="53"/>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bookmarkStart w:id="54" w:name="OLE_LINK47"/>
      <w:r>
        <w:rPr>
          <w:rFonts w:hint="eastAsia" w:ascii="仿宋_GB2312" w:eastAsia="仿宋_GB2312"/>
          <w:color w:val="000000" w:themeColor="text1"/>
          <w:sz w:val="32"/>
          <w:szCs w:val="32"/>
          <w14:textFill>
            <w14:solidFill>
              <w14:schemeClr w14:val="tx1"/>
            </w14:solidFill>
          </w14:textFill>
        </w:rPr>
        <w:t>政府采购工程支出</w:t>
      </w:r>
      <w:bookmarkEnd w:id="54"/>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bookmarkStart w:id="55" w:name="OLE_LINK48"/>
      <w:r>
        <w:rPr>
          <w:rFonts w:hint="eastAsia" w:ascii="仿宋_GB2312" w:eastAsia="仿宋_GB2312"/>
          <w:color w:val="000000" w:themeColor="text1"/>
          <w:sz w:val="32"/>
          <w:szCs w:val="32"/>
          <w14:textFill>
            <w14:solidFill>
              <w14:schemeClr w14:val="tx1"/>
            </w14:solidFill>
          </w14:textFill>
        </w:rPr>
        <w:t>政府采购服务支出</w:t>
      </w:r>
      <w:bookmarkEnd w:id="55"/>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p>
    <w:p>
      <w:pPr>
        <w:spacing w:line="54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七、其他重要事项的情况</w:t>
      </w:r>
    </w:p>
    <w:p>
      <w:pPr>
        <w:spacing w:line="540" w:lineRule="exact"/>
        <w:ind w:firstLine="643" w:firstLineChars="200"/>
        <w:rPr>
          <w:rFonts w:ascii="楷体_GB2312" w:eastAsia="楷体_GB2312"/>
          <w:b/>
          <w:bCs/>
          <w:color w:val="000000" w:themeColor="text1"/>
          <w:sz w:val="32"/>
          <w:szCs w:val="32"/>
          <w14:textFill>
            <w14:solidFill>
              <w14:schemeClr w14:val="tx1"/>
            </w14:solidFill>
          </w14:textFill>
        </w:rPr>
      </w:pPr>
      <w:r>
        <w:rPr>
          <w:rFonts w:hint="eastAsia" w:ascii="楷体_GB2312" w:eastAsia="楷体_GB2312"/>
          <w:b/>
          <w:bCs/>
          <w:color w:val="000000" w:themeColor="text1"/>
          <w:sz w:val="32"/>
          <w:szCs w:val="32"/>
          <w14:textFill>
            <w14:solidFill>
              <w14:schemeClr w14:val="tx1"/>
            </w14:solidFill>
          </w14:textFill>
        </w:rPr>
        <w:t>（一）国有资产占用情况说明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56" w:name="OLE_LINK97"/>
      <w:r>
        <w:rPr>
          <w:rFonts w:hint="eastAsia" w:ascii="仿宋_GB2312" w:eastAsia="仿宋_GB2312"/>
          <w:color w:val="000000" w:themeColor="text1"/>
          <w:sz w:val="32"/>
          <w:szCs w:val="32"/>
          <w14:textFill>
            <w14:solidFill>
              <w14:schemeClr w14:val="tx1"/>
            </w14:solidFill>
          </w14:textFill>
        </w:rPr>
        <w:t>截至2018年12月31日，单位共有车辆</w:t>
      </w:r>
      <w:r>
        <w:rPr>
          <w:rFonts w:hint="eastAsia" w:ascii="仿宋_GB2312" w:eastAsia="仿宋_GB2312"/>
          <w:sz w:val="32"/>
          <w:szCs w:val="32"/>
        </w:rPr>
        <w:t>1</w:t>
      </w:r>
      <w:r>
        <w:rPr>
          <w:rFonts w:hint="eastAsia" w:ascii="仿宋_GB2312" w:eastAsia="仿宋_GB2312"/>
          <w:color w:val="000000" w:themeColor="text1"/>
          <w:sz w:val="32"/>
          <w:szCs w:val="32"/>
          <w14:textFill>
            <w14:solidFill>
              <w14:schemeClr w14:val="tx1"/>
            </w14:solidFill>
          </w14:textFill>
        </w:rPr>
        <w:t>辆，价值</w:t>
      </w:r>
      <w:r>
        <w:rPr>
          <w:rFonts w:hint="eastAsia" w:ascii="仿宋_GB2312" w:eastAsia="仿宋_GB2312"/>
          <w:sz w:val="32"/>
          <w:szCs w:val="32"/>
        </w:rPr>
        <w:t>19.7</w:t>
      </w:r>
      <w:r>
        <w:rPr>
          <w:rFonts w:hint="eastAsia" w:ascii="仿宋_GB2312" w:eastAsia="仿宋_GB2312"/>
          <w:color w:val="000000" w:themeColor="text1"/>
          <w:sz w:val="32"/>
          <w:szCs w:val="32"/>
          <w14:textFill>
            <w14:solidFill>
              <w14:schemeClr w14:val="tx1"/>
            </w14:solidFill>
          </w14:textFill>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辆、主要领导干部用车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辆、机要通信用车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辆、应急保障用车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辆、执法执勤用车</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辆、离退休干部用车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辆、其他用车</w:t>
      </w:r>
      <w:r>
        <w:rPr>
          <w:rFonts w:ascii="仿宋_GB2312" w:eastAsia="仿宋_GB2312"/>
          <w:color w:val="000000" w:themeColor="text1"/>
          <w:sz w:val="32"/>
          <w:szCs w:val="32"/>
          <w14:textFill>
            <w14:solidFill>
              <w14:schemeClr w14:val="tx1"/>
            </w14:solidFill>
          </w14:textFill>
        </w:rPr>
        <w:t>1</w:t>
      </w:r>
      <w:r>
        <w:rPr>
          <w:rFonts w:hint="eastAsia" w:ascii="仿宋_GB2312" w:eastAsia="仿宋_GB2312"/>
          <w:color w:val="000000" w:themeColor="text1"/>
          <w:sz w:val="32"/>
          <w:szCs w:val="32"/>
          <w14:textFill>
            <w14:solidFill>
              <w14:schemeClr w14:val="tx1"/>
            </w14:solidFill>
          </w14:textFill>
        </w:rPr>
        <w:t>辆，其他用车主要是：救护车</w:t>
      </w:r>
      <w:r>
        <w:rPr>
          <w:rFonts w:ascii="仿宋_GB2312" w:eastAsia="仿宋_GB2312"/>
          <w:color w:val="000000" w:themeColor="text1"/>
          <w:sz w:val="32"/>
          <w:szCs w:val="32"/>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台（套）。</w:t>
      </w:r>
      <w:bookmarkEnd w:id="56"/>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龙甫乡卫生院2018年度部门预算总额为10.80万元，执行金额为10.80万元，预算执行率为100%。本次自评共涉及项目数1个，其中已完成项目1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color w:val="000000"/>
          <w:sz w:val="32"/>
        </w:rPr>
        <w:t>专项业务费项目项目绩效自评综述：根据年初设定的绩效目标，该项目绩效自评得分为75分。项目全年预算数为10.8万元，执行数为10.8万元，完成预算的100%。主要产出和效果：通过专项业务费项目资金的支持，及时完成公共卫生服务，确保公共卫生工作顺利进展，提高公共卫生服务水平。发现的问题及原因：公共卫生补助标准偏低，影响公共卫生服务质量。下一步改进措施： 适当提高公共卫生补助标准，提高公卫人员工作积极性。</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本单位支出功能分类说明</w:t>
      </w:r>
      <w:r>
        <w:rPr>
          <w:rFonts w:hint="eastAsia" w:ascii="仿宋_GB2312" w:hAnsi="Calibri" w:eastAsia="仿宋_GB2312"/>
          <w:color w:val="000000" w:themeColor="text1"/>
          <w:sz w:val="32"/>
          <w:szCs w:val="32"/>
          <w:lang w:val="en-GB"/>
          <w14:textFill>
            <w14:solidFill>
              <w14:schemeClr w14:val="tx1"/>
            </w14:solidFill>
          </w14:textFill>
        </w:rPr>
        <w:t>。</w:t>
      </w:r>
      <w:r>
        <w:rPr>
          <w:rFonts w:hint="eastAsia" w:ascii="仿宋_GB2312" w:eastAsia="仿宋_GB2312"/>
          <w:sz w:val="32"/>
          <w:szCs w:val="32"/>
        </w:rPr>
        <w:t>210（类）03（款）02（项）指：乡镇卫生院。221（类）02（款）01（项）指：住房公积金。210（类）04（款）08（项）指：基本公共卫生服务。210（类）04（款）09（项）指：重大公共卫生专项。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3200" w:firstLineChars="1000"/>
        <w:jc w:val="center"/>
        <w:rPr>
          <w:rFonts w:ascii="仿宋_GB2312" w:eastAsia="仿宋_GB2312"/>
          <w:sz w:val="32"/>
          <w:szCs w:val="32"/>
        </w:rPr>
      </w:pPr>
      <w:r>
        <w:rPr>
          <w:rFonts w:hint="eastAsia" w:ascii="仿宋_GB2312" w:eastAsia="仿宋_GB2312"/>
          <w:sz w:val="32"/>
          <w:szCs w:val="32"/>
        </w:rPr>
        <w:t>英吉沙县龙甫乡卫生院</w:t>
      </w:r>
    </w:p>
    <w:p>
      <w:pPr>
        <w:spacing w:line="540" w:lineRule="exact"/>
        <w:ind w:firstLine="3200" w:firstLineChars="1000"/>
        <w:jc w:val="center"/>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eastAsia="仿宋_GB2312"/>
          <w:sz w:val="32"/>
          <w:szCs w:val="32"/>
        </w:rPr>
        <w:t>2019年8月15日</w:t>
      </w:r>
    </w:p>
    <w:p>
      <w:pPr>
        <w:spacing w:line="540" w:lineRule="exact"/>
        <w:ind w:firstLine="640" w:firstLineChars="200"/>
        <w:rPr>
          <w:rFonts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ascii="宋体" w:hAnsi="宋体" w:eastAsia="宋体"/>
        <w:sz w:val="28"/>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r>
      <w:rPr>
        <w:rStyle w:val="8"/>
        <w:rFonts w:hint="eastAsia" w:ascii="宋体" w:hAnsi="宋体" w:eastAsia="宋体"/>
        <w:sz w:val="28"/>
      </w:rPr>
      <w:t xml:space="preserve"> </w:t>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- 12 -</w:t>
    </w:r>
    <w:r>
      <w:rPr>
        <w:rStyle w:val="8"/>
        <w:rFonts w:ascii="宋体" w:hAnsi="宋体" w:eastAsia="宋体"/>
        <w:sz w:val="28"/>
        <w:szCs w:val="28"/>
      </w:rPr>
      <w:fldChar w:fldCharType="end"/>
    </w:r>
  </w:p>
  <w:p>
    <w:pPr>
      <w:pStyle w:val="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ascii="宋体" w:hAnsi="宋体" w:eastAsia="宋体"/>
        <w:sz w:val="28"/>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15</w:t>
    </w:r>
    <w:r>
      <w:rPr>
        <w:rStyle w:val="8"/>
        <w:rFonts w:ascii="宋体" w:hAnsi="宋体" w:eastAsia="宋体"/>
        <w:sz w:val="28"/>
      </w:rPr>
      <w:fldChar w:fldCharType="end"/>
    </w:r>
    <w:r>
      <w:rPr>
        <w:rStyle w:val="8"/>
        <w:rFonts w:hint="eastAsia" w:ascii="宋体" w:hAnsi="宋体" w:eastAsia="宋体"/>
        <w:sz w:val="28"/>
      </w:rPr>
      <w:t xml:space="preserve"> </w:t>
    </w:r>
  </w:p>
  <w:p>
    <w:pPr>
      <w:pStyle w:val="5"/>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- 12 -</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B6AF4"/>
    <w:rsid w:val="008C030F"/>
    <w:rsid w:val="008C3672"/>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1EE2"/>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A73BAE"/>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3FE72E0"/>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0F92D94"/>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7717E37"/>
    <w:rsid w:val="48C57772"/>
    <w:rsid w:val="49782886"/>
    <w:rsid w:val="4A6F0D28"/>
    <w:rsid w:val="4AAF085C"/>
    <w:rsid w:val="4AEB7E60"/>
    <w:rsid w:val="4B4B135B"/>
    <w:rsid w:val="4BC7055F"/>
    <w:rsid w:val="4CFC7DB2"/>
    <w:rsid w:val="4E7C187D"/>
    <w:rsid w:val="508941AD"/>
    <w:rsid w:val="50D00EF4"/>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8815A1"/>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37C1A67"/>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3"/>
    <w:semiHidden/>
    <w:unhideWhenUsed/>
    <w:qFormat/>
    <w:uiPriority w:val="99"/>
    <w:rPr>
      <w:b/>
      <w:bCs/>
    </w:rPr>
  </w:style>
  <w:style w:type="paragraph" w:styleId="3">
    <w:name w:val="annotation text"/>
    <w:basedOn w:val="1"/>
    <w:link w:val="12"/>
    <w:semiHidden/>
    <w:unhideWhenUsed/>
    <w:qFormat/>
    <w:uiPriority w:val="99"/>
    <w:pPr>
      <w:jc w:val="left"/>
    </w:pPr>
  </w:style>
  <w:style w:type="paragraph" w:styleId="4">
    <w:name w:val="Balloon Text"/>
    <w:basedOn w:val="1"/>
    <w:link w:val="14"/>
    <w:semiHidden/>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semiHidden/>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15</Pages>
  <Words>944</Words>
  <Characters>5382</Characters>
  <Lines>44</Lines>
  <Paragraphs>12</Paragraphs>
  <TotalTime>0</TotalTime>
  <ScaleCrop>false</ScaleCrop>
  <LinksUpToDate>false</LinksUpToDate>
  <CharactersWithSpaces>6314</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2021-07-13T15:51:18Z</dcterms:modified>
  <cp:revision>812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